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West Virginia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New Consideration (if signed after hire)</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Trade Secrets and other Confidential Information, its customer lists, its customer goodwill, and any unusual training in which Employer has invested, and does not include Employee's general knowledge, skill, and experience.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other Confidential Information and will develop customer relationships and goodwill on Employer's behalf. Each covenant protects those Protected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offer and commencement of employment is the consideration for the covenants. If this agreement is signed after Employee's employment has begun, the consideration for the covenants is the new value stated in Cover Terms under New Consideration (if signed after hire).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operates alongside, and independent of, the restrictive covenants in this agreement, and it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responding to a subpoena, court order, or lawful demand of a government agency, with notice to Employer where permitted by law;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or for whom Employee had responsibility. This covenant does not bar Employee from working in Employee's field or from engaging in business generally.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or for whom Employee had responsibility, regardless of who initiates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below the threshold stated in Cover Terms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any covenant not to compete is limited to one year and thirty road miles from Employee's primary place of practice with Employer and does not apply if Employer terminates Employee's employment. These limitations do not apply to a covenant Employee gives in connection with the sale of Employee's business or practice or to a covenant among physicians who are owners of a health care practice.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equitably extended by the period of the breach. Any extension is limited to the period of the breach, and no extension enlarges any physician covenant beyond the limits stated in the Physician and Health Care Practitioner Covenants section.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