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Washington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current customers of Employer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of Employer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and trade secrets, its relationships with current customers, its workforce stability, and its goodwill, in each case to the extent a restraint serving that interest is reasonable and necessary.</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 person or entity, upon termination of Employee's employment, for the purpose of causing a Covered Customer to cease or reduce its business with Employer or a Covered Employee to leave Employer, but does not include accepting or transacting business a Covered Customer initiates, responding to general advertisements or unsolicited inquiries not initiated by Employee, or providing a professional reference upon request.</w:t>
      </w:r>
    </w:p>
    <w:p>
      <w:pPr>
        <w:pStyle w:val="OABody"/>
        <w:numPr>
          <w:ilvl w:val="1"/>
          <w:numId w:val="1"/>
        </w:numPr>
        <w:spacing w:before="0" w:after="120" w:line="340" w:lineRule="auto"/>
      </w:pPr>
      <w:r>
        <w:rPr>
          <w:b/>
          <w:bCs/>
          <w:color w:val="117086"/>
        </w:rPr>
        <w:t xml:space="preserve">“Trade Secrets”</w:t>
      </w:r>
      <w:r>
        <w:t xml:space="preserve"> has the meaning given in the Uniform Trade Secrets Act as adopted in Washington, chapter 19.108 RCW.</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is supported by consideration, and protects one or more of Employer's Protected Interests.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to consult with an attorney before entering into this agreement. If this agreement is entered into at or before the commencement of Employee's employment, Employer has disclosed the terms of the restrictive covenants in writing to Employee no later than the time of Employee's initial oral or written acceptance of the offer of employment; and if any covenant would become enforceable only at a later date because Employee's earnings then exceed the applicable threshold, Employer specifically discloses that the agreement may be enforceable against Employee in the future. If this agreement is entered into after the commencement of Employee's employment, Employer provides </w:t>
      </w:r>
      <w:r>
        <w:rPr>
          <w:b w:val="0"/>
          <w:bCs w:val="0"/>
        </w:rPr>
        <w:t xml:space="preserve">the signing or retention bonus, equity grant, promotion, or other new benefit the parties identify as given specifically in exchange for the restrictive covenants</w:t>
      </w:r>
      <w:r>
        <w:t xml:space="preserve"> as independent consideration given specifically in exchange for the restrictive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so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any Covered Employee to leave Employer. This restriction is limited to solicitation as defined above and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any Covered Customer to cease or reduce the extent to which it is doing business with Employer. This covenant applies only to solicitation Employee initiates and does not prohibit accepting or transacting business a Covered Customer brings to Employee. It applies only to a Covered Customer with whom Employee established or substantially developed a direct relationship through Employee's work for Employer and expires no later than eighteen months after termination of employment.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Washington Conditions for Any Non-Compete</w:t>
      </w:r>
    </w:p>
    <w:p>
      <w:pPr>
        <w:pStyle w:val="OABody"/>
        <w:numPr>
          <w:ilvl w:val="1"/>
          <w:numId w:val="1"/>
        </w:numPr>
        <w:spacing w:before="0" w:after="120" w:line="340" w:lineRule="auto"/>
      </w:pPr>
      <w:r>
        <w:t xml:space="preserve">This section applies to the Non-Competition covenant, any No Business with Covered Customers covenant, and any Non-Investment covenant (each, for this section, a "Non-Compete Covenant").</w:t>
      </w:r>
    </w:p>
    <w:p>
      <w:pPr>
        <w:pStyle w:val="OABody"/>
        <w:numPr>
          <w:ilvl w:val="1"/>
          <w:numId w:val="1"/>
        </w:numPr>
        <w:spacing w:before="0" w:after="120" w:line="340" w:lineRule="auto"/>
      </w:pPr>
      <w:r>
        <w:rPr>
          <w:b/>
          <w:bCs/>
        </w:rPr>
        <w:t xml:space="preserve">Earnings condition.</w:t>
      </w:r>
      <w:r>
        <w:t xml:space="preserve"> Each Non-Compete Covenant does not apply unless the completed eligibility determination indicates that Employee satisfies the applicable earnings condition. Where Employee is an independent contractor, the higher contractor earnings threshold applies in place of the employee threshold. A covenant between a performer and a performance space may not exceed three calendar days.</w:t>
      </w:r>
    </w:p>
    <w:p>
      <w:pPr>
        <w:pStyle w:val="OABody"/>
        <w:numPr>
          <w:ilvl w:val="1"/>
          <w:numId w:val="1"/>
        </w:numPr>
        <w:spacing w:before="0" w:after="120" w:line="340" w:lineRule="auto"/>
      </w:pPr>
      <w:r>
        <w:rPr>
          <w:b/>
          <w:bCs/>
        </w:rPr>
        <w:t xml:space="preserve">Disclosure or independent consideration.</w:t>
      </w:r>
      <w:r>
        <w:t xml:space="preserve"> Each Non-Compete Covenant does not apply unless the disclosure-or-consideration timing conditions in the Timing, Consideration, and Right to Consult Counsel section are satisfied — written disclosure of the terms no later than the time of Employee's acceptance of the offer for an at-hire covenant (RCW 49.62.020(1)(a)(i)), or independent consideration for a covenant entered into after employment has commenced (RCW 49.62.020(1)(a)(ii)).</w:t>
      </w:r>
    </w:p>
    <w:p>
      <w:pPr>
        <w:pStyle w:val="OABody"/>
        <w:numPr>
          <w:ilvl w:val="1"/>
          <w:numId w:val="1"/>
        </w:numPr>
        <w:spacing w:before="0" w:after="120" w:line="340" w:lineRule="auto"/>
      </w:pPr>
      <w:r>
        <w:rPr>
          <w:b/>
          <w:bCs/>
        </w:rPr>
        <w:t xml:space="preserve">Layoff garden-leave pay.</w:t>
      </w:r>
      <w:r>
        <w:t xml:space="preserve"> If Employee is terminated as the result of a layoff, each Non-Compete Covenant does not apply unless its enforcement includes compensation equivalent to Employee's base salary at the time of termination for the period of enforcement, minus compensation earned through subsequent employment during the period of enforcement, as required under RCW 49.62.020(1)(c). Employer's election to enforce a Non-Compete Covenant against a laid-off Employee constitutes Employer's agreement to pay that compensation.</w:t>
      </w:r>
    </w:p>
    <w:p>
      <w:pPr>
        <w:pStyle w:val="OABody"/>
        <w:numPr>
          <w:ilvl w:val="1"/>
          <w:numId w:val="1"/>
        </w:numPr>
        <w:spacing w:before="0" w:after="120" w:line="340" w:lineRule="auto"/>
      </w:pPr>
      <w:r>
        <w:rPr>
          <w:b/>
          <w:bCs/>
        </w:rPr>
        <w:t xml:space="preserve">Eighteen-month duration.</w:t>
      </w:r>
      <w:r>
        <w:t xml:space="preserve"> The Restricted Period for each Non-Compete Covenant does not exceed eighteen months after termination of employment, as RCW 49.62.020(2) requires.</w:t>
      </w:r>
    </w:p>
    <w:p>
      <w:pPr>
        <w:pStyle w:val="OABody"/>
        <w:numPr>
          <w:ilvl w:val="1"/>
          <w:numId w:val="1"/>
        </w:numPr>
        <w:spacing w:before="0" w:after="120" w:line="340" w:lineRule="auto"/>
      </w:pPr>
      <w:r>
        <w:rPr>
          <w:b/>
          <w:bCs/>
        </w:rPr>
        <w:t xml:space="preserve">Second-job protection.</w:t>
      </w:r>
      <w:r>
        <w:t xml:space="preserve"> Notwithstanding any other provision of this agreement, no covenant in this agreement restricts, restrains, or prohibits an Employee earning less than twice the applicable Washington state minimum hourly wage from having an additional job, supplementing income by working for another employer, working as an independent contractor, or being self-employed, as required under RCW 49.62.070. Any exclusivity or outside-activities obligation is limited accordingly.</w:t>
      </w:r>
    </w:p>
    <w:p>
      <w:pPr>
        <w:pStyle w:val="OABody"/>
        <w:numPr>
          <w:ilvl w:val="1"/>
          <w:numId w:val="1"/>
        </w:numPr>
        <w:spacing w:before="0" w:after="120" w:line="340" w:lineRule="auto"/>
      </w:pPr>
      <w:r>
        <w:rPr>
          <w:b/>
          <w:bCs/>
        </w:rPr>
        <w:t xml:space="preserve">No out-of-state law or forum.</w:t>
      </w:r>
      <w:r>
        <w:t xml:space="preserve"> For a Washington-based Employee, no provision of this agreement requires adjudication of a noncompetition covenant outside Washington, deprives Employee of the protections or benefits of chapter 49.62 RCW, or applies choice-of-law principles or the substantive law of any jurisdiction other than Washington, each of which would be void and unenforceable under RCW 49.62.050.</w:t>
      </w:r>
    </w:p>
    <w:p>
      <w:pPr>
        <w:pStyle w:val="OABody"/>
        <w:numPr>
          <w:ilvl w:val="1"/>
          <w:numId w:val="1"/>
        </w:numPr>
        <w:spacing w:before="0" w:after="120" w:line="340" w:lineRule="auto"/>
      </w:pPr>
      <w:r>
        <w:rPr>
          <w:b/>
          <w:bCs/>
        </w:rPr>
        <w:t xml:space="preserve">Non-Compete exclusion.</w:t>
      </w:r>
      <w:r>
        <w:t xml:space="preserve"> Nothing in this agreement restricts or delays any notice to affected workers that applicable law requires.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only factual information about lawful confidentiality, trade-secret, return-of-property, and other obligations that remain enforceable. Employee consents to that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provided that, for any Non-Compete Covenant, the extended Restricted Period does not in total exceed eighteen months after termination of employment.</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subject to the Washington Conditions for Any Non-Compete section. Any Non-Compete Covenant expires no later than June 30, 2027.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 assignee may enforce a Non-Compete Covenant only while the applicable earnings condition is satisfied.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Washington-based Employee, that law is the law of the State of Washington, including chapter 49.62 RCW; the dispute will be adjudicated in Washington; and Employee retains the full protections and benefits of chapter 49.62 RCW. Consistent with RCW 49.62.050, no provision of this agreement requires a Washington-based Employee to adjudicate a noncompetition covenant outside Washington, deprives Employee of those protections, or applies the substantive law of any jurisdiction other than Washington to the noncompetition covenant.</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each new execution of a restrictive covenant must independently satisfy the disclosure-or-consideration timing conditions of RCW 49.62.020(1)(a).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