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Vermont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and Trade Secrets and Employer's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 Each covenant is limited to the time, territory, and scope stated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supported by Employee's continued employment or, if signed at the outset of employment, Employer's offer of employment.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necessary to protect Employer's goodwill in its customer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 whom Employee had material contact, regardless of who initiates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No covenant in this agreement restricts a licensed healthcare professional from practicing beyond the Restricted Period or outside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the breach continues. The extension may not exceed the number of days during which the breach continued.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any remedy available under applicable trade-secret law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covenant's duration is stated in Cover Terms, and no covenant is intended to revive after its stated term has run.</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Employer may assign this agreement to a successor in connection with a sale of its business.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This agreement does not impose a covenant not to compete as a condition of a barbering or cosmetology school's training for licensure, and it does not restrict a lawyer's right to practice after termination of the relationship except as to benefits upon retirement, nor make any restriction on a lawyer's right to practice part of the settlement of a client controversy.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(Vermont)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