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Tennessee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investment in special training provided to Employee, and customer relationships developed by Employee on Employer's behalf.</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its Confidential Information and trade secrets, its investment in special training, and its customer relationships in which Employee is the face of the business. Employer would not provide Employee with access to these Protected Interests absent the protections in this agreement.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If this agreement is signed at the outset of employment, the offer and commencement of employment is the consideration. If Employee signs after hire, Employer will provide the consideration stated in Cover Terms. Employer has given Employee the opportunity to consult with independent legal counsel before signing this agreement. Employee acknowledges that the restrictions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whom the departing Employee actually worked with or managed and does not operate as a workforce-wide hiring ban.</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same objective exclusions as the Non-Competition section apply to this restriction.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Provider Covenants</w:t>
      </w:r>
    </w:p>
    <w:p>
      <w:pPr>
        <w:pStyle w:val="OABody"/>
        <w:spacing w:before="0" w:after="120" w:line="340" w:lineRule="auto"/>
        <w:ind w:left="720"/>
      </w:pPr>
      <w:r>
        <w:t xml:space="preserve">If Employee provides licensed health-care services, any covenant restricting Employee's practice lasts no more than two years and applies only within the greater of a ten-mile radius from Employee's primary practice site or the county where that site is located. No non-compete restricts Employee's practice of emergency medicine.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any prospective employer or business associate of Employee if Employer has a reasonable belief that Employee may breach those obligations.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attorney's fees unless this agreement expressly provides otherwise.</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covenant's Restricted Period runs independently of the others.</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Tennessee law governs to the extent required by non-waivable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