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entity that employs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 the date the last party signs. It anchors the duration presumptions stated in Cover Terms.]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New York</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confidential customer information, pricing, business processes, technical data, and strategic plans, but excluding information that becomes public through no fault of Employee, the general knowledge, skill, and experience Employee acquired during employment, and information about the ordinary, internal operations of the business that does not itself qualify as a Trade Secret.</w:t>
      </w:r>
    </w:p>
    <w:p>
      <w:pPr>
        <w:pStyle w:val="OABody"/>
        <w:numPr>
          <w:ilvl w:val="1"/>
          <w:numId w:val="1"/>
        </w:numPr>
        <w:spacing w:before="0" w:after="120" w:line="340" w:lineRule="auto"/>
      </w:pPr>
      <w:r>
        <w:rPr>
          <w:b/>
          <w:bCs/>
          <w:color w:val="117086"/>
        </w:rPr>
        <w:t xml:space="preserve">“Covered Customers”</w:t>
      </w:r>
      <w:r>
        <w:t xml:space="preserve"> means customers, referral sources, and business partners the Employee actually developed or serviced, or for whom Employee had responsibility, and with whom Employee therefore had material contact during the 12 months before termination of employment; it does not include customers Employee never met, did not know about, and did no work for.</w:t>
      </w:r>
    </w:p>
    <w:p>
      <w:pPr>
        <w:pStyle w:val="OABody"/>
        <w:numPr>
          <w:ilvl w:val="1"/>
          <w:numId w:val="1"/>
        </w:numPr>
        <w:spacing w:before="0" w:after="120" w:line="340" w:lineRule="auto"/>
      </w:pPr>
      <w:r>
        <w:rPr>
          <w:b/>
          <w:bCs/>
          <w:color w:val="117086"/>
        </w:rPr>
        <w:t xml:space="preserve">“Covered Employees”</w:t>
      </w:r>
      <w:r>
        <w:t xml:space="preserve"> means employees with whom Employee actually worked or whom Employee managed during the 12 months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Protected Interests in protection against misappropriation of Employer's trade secrets or confidential customer information, protection from competition by a former employee whose services to Employer were unique or extraordinary, and protection of client goodwill created and maintained at Employer's expense.</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or encourage any person or entity, on Employee's own initiative, for the purpose of diverting business away from Employer, but does not include responding to general advertisements or accepting the unprompted patronage of a customer who chooses to leave Employer without solicitation by Employee.</w:t>
      </w:r>
    </w:p>
    <w:p>
      <w:pPr>
        <w:pStyle w:val="OABody"/>
        <w:numPr>
          <w:ilvl w:val="1"/>
          <w:numId w:val="1"/>
        </w:numPr>
        <w:spacing w:before="0" w:after="120" w:line="340" w:lineRule="auto"/>
      </w:pPr>
      <w:r>
        <w:rPr>
          <w:b/>
          <w:bCs/>
          <w:color w:val="117086"/>
        </w:rPr>
        <w:t xml:space="preserve">“Trade Secrets”</w:t>
      </w:r>
      <w:r>
        <w:t xml:space="preserve"> means information that qualifies as a trade secret under applicable law, including the federal Defend Trade Secrets Act, 18 U.S.C. § 1839(3), covering information that derives independent economic value, actual or potential, from not being generally known or readily ascertainable and that is the subject of efforts reasonable under the circumstances to maintain its secrecy.</w:t>
      </w:r>
    </w:p>
    <w:p>
      <w:pPr>
        <w:pStyle w:val="OABody"/>
        <w:keepNext/>
        <w:numPr>
          <w:ilvl w:val="0"/>
          <w:numId w:val="1"/>
        </w:numPr>
        <w:spacing w:before="320" w:after="120" w:line="340" w:lineRule="auto"/>
        <w:jc w:val="left"/>
      </w:pPr>
      <w:r>
        <w:rPr>
          <w:b/>
          <w:bCs/>
        </w:rPr>
        <w:t xml:space="preserve">Recitals and Protectable Interests</w:t>
      </w:r>
    </w:p>
    <w:p>
      <w:pPr>
        <w:pStyle w:val="OABody"/>
        <w:spacing w:before="0" w:after="120" w:line="340" w:lineRule="auto"/>
        <w:ind w:left="720"/>
      </w:pPr>
      <w:r>
        <w:t xml:space="preserve">Employee will receive access to Employer's Trade Secrets and other Confidential Information and will develop customer relationships and goodwill on Employer's behalf. Employer and Employee acknowledge that the restrictive covenants in this agreement protect those interests.</w:t>
      </w:r>
    </w:p>
    <w:p>
      <w:pPr>
        <w:pStyle w:val="OABody"/>
        <w:keepNext/>
        <w:numPr>
          <w:ilvl w:val="0"/>
          <w:numId w:val="1"/>
        </w:numPr>
        <w:spacing w:before="320" w:after="120" w:line="340" w:lineRule="auto"/>
        <w:jc w:val="left"/>
      </w:pPr>
      <w:r>
        <w:rPr>
          <w:b/>
          <w:bCs/>
        </w:rPr>
        <w:t xml:space="preserve">Timing, Consideration, and Employee Acknowledgements</w:t>
      </w:r>
    </w:p>
    <w:p>
      <w:pPr>
        <w:pStyle w:val="OABody"/>
        <w:spacing w:before="0" w:after="120" w:line="340" w:lineRule="auto"/>
        <w:ind w:left="720"/>
      </w:pPr>
      <w:r>
        <w:t xml:space="preserve">This agreement is effective as of the Effective Date listed in Cover Terms. The parties acknowledge that this agreement is supported by adequate consideration. If this agreement is signed at the outset of employment, the consideration is the offer and commencement of employment. If Employee signs this agreement after employment has begun, the consideration is Employer's continued employment of Employee and any raise, promotion, bonus, or other benefit provided to Employee in connection with signing. Employee acknowledges having had the opportunity to review this agreement, and to consult with independent legal counsel about it, before signing.</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for the period specified in Cover Terms under Trade Secrets Duration, for as long as the information remains a trade secret. Employee's obligations regarding other Confidential Information continue for the period specified in Cover Terms under Other Confidential Information Duration. This confidentiality obligation operates alongside, and independent of, the restrictive covenants in this agreement, and does not restrict Employee's use of the general knowledge, skill, and experience Employee acquired during employment or of information about Employer's ordinary internal operations that is not itself a Trade Secret.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 Confidentiality and non-disparagement obligations in this agreement do not waive or restrict rights that cannot lawfully be waived.</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 This covenant is included to protect Employer's Protected Interests and is drawn no broader than reasonably necessary to protect them.</w:t>
      </w:r>
    </w:p>
    <w:p>
      <w:pPr>
        <w:pStyle w:val="OABody"/>
        <w:keepNext/>
        <w:numPr>
          <w:ilvl w:val="0"/>
          <w:numId w:val="1"/>
        </w:numPr>
        <w:spacing w:before="320" w:after="120" w:line="340" w:lineRule="auto"/>
        <w:jc w:val="left"/>
      </w:pPr>
      <w:r>
        <w:rPr>
          <w:b/>
          <w:bCs/>
        </w:rPr>
        <w:t xml:space="preserve">Non-Solicitation of Customers, Referral Sources, and Business Partners</w:t>
      </w:r>
    </w:p>
    <w:p>
      <w:pPr>
        <w:pStyle w:val="OABody"/>
        <w:spacing w:before="0" w:after="120" w:line="340" w:lineRule="auto"/>
        <w:ind w:left="720"/>
      </w:pPr>
      <w:r>
        <w:t xml:space="preserve">During the Restricted Period, Employee must not Solicit the business of any Covered Customer. This covenant reaches only Covered Customers — customers, referral sources, and business partners the Employee actually developed or serviced and with whom Employee had material contact — and does not reach customers Employee never met, did not know about, and did no work for. This covenant is included to protect Employer's Protected Interests and is drawn no broader than reasonably necessary to protect them.</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 This covenant reaches only Covered Customers with whom Employee had material contact, is included to protect Employer's Protected Interests, and is drawn no broader than reasonably necessary to protect them.</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This covenant is included to protect Employer's Protected Interests and is drawn no broader than reasonably necessary to protect them.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rights protected under Section 7 of the National Labor Relations Act (29 U.S.C. § 157).</w:t>
      </w:r>
    </w:p>
    <w:p>
      <w:pPr>
        <w:pStyle w:val="OABody"/>
        <w:keepNext/>
        <w:numPr>
          <w:ilvl w:val="0"/>
          <w:numId w:val="1"/>
        </w:numPr>
        <w:spacing w:before="320" w:after="120" w:line="340" w:lineRule="auto"/>
        <w:jc w:val="left"/>
      </w:pPr>
      <w:r>
        <w:rPr>
          <w:b/>
          <w:bCs/>
        </w:rPr>
        <w:t xml:space="preserve">Physician and Health Care Practitioner Covenants</w:t>
      </w:r>
    </w:p>
    <w:p>
      <w:pPr>
        <w:pStyle w:val="OABody"/>
        <w:spacing w:before="0" w:after="120" w:line="340" w:lineRule="auto"/>
        <w:ind w:left="720"/>
      </w:pPr>
      <w:r>
        <w:t xml:space="preserve">If Employee is a physician or other health care practitioner, no covenant prohibits Employee from continuing care for an existing patient or complying with applicable patient-notification and access requirements.</w:t>
      </w:r>
    </w:p>
    <w:p>
      <w:pPr>
        <w:pStyle w:val="OABody"/>
        <w:keepNext/>
        <w:numPr>
          <w:ilvl w:val="0"/>
          <w:numId w:val="1"/>
        </w:numPr>
        <w:spacing w:before="320" w:after="120" w:line="340" w:lineRule="auto"/>
        <w:jc w:val="left"/>
      </w:pPr>
      <w:r>
        <w:rPr>
          <w:b/>
          <w:bCs/>
        </w:rPr>
        <w:t xml:space="preserve">Broadcast Employee Exclusion</w:t>
      </w:r>
    </w:p>
    <w:p>
      <w:pPr>
        <w:pStyle w:val="OABody"/>
        <w:spacing w:before="0" w:after="120" w:line="340" w:lineRule="auto"/>
        <w:ind w:left="720"/>
      </w:pPr>
      <w:r>
        <w:t xml:space="preserve">If Employee is a broadcast employee of a broadcasting-industry employer, this agreement does not impose, and no provision of this agreement may be enforced as, a post-employment restriction on Employee obtaining employment in any geographic area, for any period of time, or with any employer or in any industry. This exclusion applies only after Employee's employment concludes; it does not affect any covenant that operates during the term of Employee's employment.</w:t>
      </w:r>
    </w:p>
    <w:p>
      <w:pPr>
        <w:pStyle w:val="OABody"/>
        <w:keepNext/>
        <w:numPr>
          <w:ilvl w:val="0"/>
          <w:numId w:val="1"/>
        </w:numPr>
        <w:spacing w:before="320" w:after="120" w:line="340" w:lineRule="auto"/>
        <w:jc w:val="left"/>
      </w:pPr>
      <w:r>
        <w:rPr>
          <w:b/>
          <w:bCs/>
        </w:rPr>
        <w:t xml:space="preserve">Sale-of-Business and Goodwill Covenants</w:t>
      </w:r>
    </w:p>
    <w:p>
      <w:pPr>
        <w:pStyle w:val="OABody"/>
        <w:spacing w:before="0" w:after="120" w:line="340" w:lineRule="auto"/>
        <w:ind w:left="720"/>
      </w:pPr>
      <w:r>
        <w:t xml:space="preserve">Where a restraint in this agreement arises from Employee's sale of a business and its goodwill, that restraint bars Employee from soliciting the customers of the business sold and does not bar Employee from accepting the patronage of a customer who chooses to leave without solicitation by Employee.</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Restricted Period for that covenant is extended by one day for each day of the breach, so that the full duration of the restriction runs from the date the breach ends. Any extension under this section is limited to the period of the breach; the parties do not intend any open-ended or indefinite extension.</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and that Employer may seek injunctive or other equitable relief in addition to any other remedies available at law. Any fee-shifting between the parties under this agreement is mutual and prevailing-party based.</w:t>
      </w:r>
    </w:p>
    <w:p>
      <w:pPr>
        <w:pStyle w:val="OABody"/>
        <w:keepNext/>
        <w:numPr>
          <w:ilvl w:val="0"/>
          <w:numId w:val="1"/>
        </w:numPr>
        <w:spacing w:before="320" w:after="120" w:line="340" w:lineRule="auto"/>
        <w:jc w:val="left"/>
      </w:pPr>
      <w:r>
        <w:rPr>
          <w:b/>
          <w:bCs/>
        </w:rPr>
        <w:t xml:space="preserve">Reasonable Scope and Severability</w:t>
      </w:r>
    </w:p>
    <w:p>
      <w:pPr>
        <w:pStyle w:val="OABody"/>
        <w:spacing w:before="0" w:after="120" w:line="340" w:lineRule="auto"/>
        <w:ind w:left="720"/>
      </w:pPr>
      <w:r>
        <w:t xml:space="preserve">If any provision of this agreement is found to be unenforceable, it is severed and the remaining provisions remain in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for that covenant. Obligations under the Confidential Information and Trade Secret Protection section survive for as long as the relevant information remains a trade secret, and for the period specified in Cover Terms for other Confidential Information.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All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entity that employs the employee]</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(New York)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(New York)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(New York)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