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Independent Consideration</w:t>
            </w:r>
          </w:p>
        </w:tc>
        <w:tc>
          <w:tcPr>
            <w:tcW w:w="6480" w:type="dxa"/>
            <w:tcMar>
              <w:top w:w="60" w:type="dxa"/>
              <w:left w:w="0" w:type="dxa"/>
              <w:bottom w:w="60" w:type="dxa"/>
              <w:right w:w="0" w:type="dxa"/>
            </w:tcMar>
          </w:tcPr>
          <w:p>
            <w:r>
              <w:rPr>
                <w:rFonts w:ascii="Arial" w:hAnsi="Arial" w:cs="Arial"/>
                <w:color w:val="1D2021"/>
                <w:sz w:val="22"/>
                <w:szCs w:val="22"/>
              </w:rPr>
              <w:t xml:space="preserve">a signing bonus, access to Employer's confidential information and customer relationships, and specialized training</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Missouri</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Employee actually serviced, solicited, or had substantial contact with, or for whom Employee had responsibility, during the 12 months before termination of employment. Covered Customers does not include a customer with whom Employee had no such relationship, and does not include a prospective customer Employee never serviced.</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goodwill in customer relationships with which Employee had substantial contact and an opportunity to influence.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necessary to protect that interest. The parties acknowledge that Employer would not provide Employee with access to its trade secrets and customer relationships absent the protections in this agreement. Each covenant is intended to be no more restrictive than is necessary to protect a Protected Interest.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and independent consideration, namely a signing bonus, access to Employer's confidential information and customer relationships, and specialized training, conferred on Employee in exchange for Employee's assent to the covenants in this agreement.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which must not exceed one year for this covenant, Employee must not Solicit, recruit, hire, or attempt to hire any Covered Employee, or otherwise interfere with the employment of any Covered Employee. This restriction does not prohibit Employee from providing a professional reference upon request or from hiring a person who responds to a general advertisement not directed specifically at Employer's employees. This covenant does not apply to any Covered Employee who provided only secretarial or clerical services.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Covered Customers whom Employee actually serviced or had substantial contact with.</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Covered Customers whom Employee actually serviced or had substantial contact with.</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each restriction applies only during the Restricted Period and within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under the Missouri Uniform Trade Secrets Act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Each covenant's survival period runs independently for the duration specified for that covenant in Cover Terms.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 assignee takes this agreement subject to the same limits and acquires no greater rights than Employer holds under it.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(Missouri)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