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entity that employs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 the date the last party signs. It anchors the duration presumptions stated in Cover Terms.]</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Massachusetts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12 months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12 months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trade secrets, Employer's Confidential Information that would not otherwise qualify as a trade secret, and Employer's goodwill.</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encourage, or provide Confidential Information to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has the meaning given in the Massachusetts Uniform Trade Secrets Act, Mass. Gen. Laws ch. 93, § 42.</w:t>
      </w:r>
    </w:p>
    <w:p>
      <w:pPr>
        <w:pStyle w:val="OABody"/>
        <w:keepNext/>
        <w:numPr>
          <w:ilvl w:val="0"/>
          <w:numId w:val="1"/>
        </w:numPr>
        <w:spacing w:before="320" w:after="120" w:line="340" w:lineRule="auto"/>
        <w:jc w:val="left"/>
      </w:pPr>
      <w:r>
        <w:rPr>
          <w:b/>
          <w:bCs/>
        </w:rPr>
        <w:t xml:space="preserve">Recitals and Protected Interests</w:t>
      </w:r>
    </w:p>
    <w:p>
      <w:pPr>
        <w:pStyle w:val="OABody"/>
        <w:spacing w:before="0" w:after="120" w:line="340" w:lineRule="auto"/>
        <w:ind w:left="720"/>
      </w:pPr>
      <w:r>
        <w:t xml:space="preserve">Employer and Employee acknowledge and agree that the restrictive covenants in this agreement are supported by, and no broader than necessary to protect, Employer's Protected Interests (Mass. Gen. Laws ch. 149, § 24L(b)(iii)). Employer would not provide Employee with access to these Protected Interests absent the protections in this agreement.</w:t>
      </w:r>
    </w:p>
    <w:p>
      <w:pPr>
        <w:pStyle w:val="OABody"/>
        <w:keepNext/>
        <w:numPr>
          <w:ilvl w:val="0"/>
          <w:numId w:val="1"/>
        </w:numPr>
        <w:spacing w:before="320" w:after="120" w:line="340" w:lineRule="auto"/>
        <w:jc w:val="left"/>
      </w:pPr>
      <w:r>
        <w:rPr>
          <w:b/>
          <w:bCs/>
        </w:rPr>
        <w:t xml:space="preserve">Timing, Consideration, and Right to Consult Counsel</w:t>
      </w:r>
    </w:p>
    <w:p>
      <w:pPr>
        <w:pStyle w:val="OABody"/>
        <w:spacing w:before="0" w:after="120" w:line="340" w:lineRule="auto"/>
        <w:ind w:left="720"/>
      </w:pPr>
      <w:r>
        <w:t xml:space="preserve">Employee has the right to consult with counsel prior to signing this agreement. If this agreement is entered into in connection with the commencement of employment, it is provided to Employee by the earlier of a formal offer of employment or 10 business days before the commencement of employment, and is signed by both Employer and Employee. If this agreement is entered into after the commencement of employment but not in connection with separation, it is supported by fair and reasonable consideration independent from the continuation of employment, and notice of the agreement is provided to Employee at least 10 business days before it is to be effective. Employee acknowledges that the restrictions in this agreement are reasonable and necessary to protect Employer's Protected Interests.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for the Trade Secrets Duration specified in Cover Terms, to the extent the information remains a trade secret. Employee's obligations regarding other Confidential Information continue for the Other Confidential Information Duration specified in Cover Terms.</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The garden leave or other agreed consideration, 12-month duration cap, and worker exclusions stated above apply to this covenant.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w:t>
      </w:r>
    </w:p>
    <w:p>
      <w:pPr>
        <w:pStyle w:val="OABody"/>
        <w:keepNext/>
        <w:numPr>
          <w:ilvl w:val="0"/>
          <w:numId w:val="1"/>
        </w:numPr>
        <w:spacing w:before="320" w:after="120" w:line="340" w:lineRule="auto"/>
        <w:jc w:val="left"/>
      </w:pPr>
      <w:r>
        <w:rPr>
          <w:b/>
          <w:bCs/>
        </w:rPr>
        <w:t xml:space="preserve">Profession-Specific Non-Compete Bans</w:t>
      </w:r>
    </w:p>
    <w:p>
      <w:pPr>
        <w:pStyle w:val="OABody"/>
        <w:spacing w:before="0" w:after="120" w:line="340" w:lineRule="auto"/>
        <w:ind w:left="720"/>
      </w:pPr>
      <w:r>
        <w:t xml:space="preserve">Notwithstanding any other provision of this agreement, any restriction on Employee's right to practice Employee's profession after the termination of employment is void and unenforceable, while the remaining provisions of this agreement continue in effect, if Employee is a physician registered to practice medicine, a registered or practical nurse, a licensed psychologist, or a licensed social worker. If Employee is employed or engaged in the broadcasting industry, any restriction on Employee's right to obtain subsequent employment is void and unenforceable where Employer terminated the employment, the parties ended the employment relationship by mutual agreement, or the contract expired, and Employer will not require or enforce such a restriction.</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the Restricted Period for that covenant is extended by one day for each day of the breach. Any extension of the non-compete under this section remains subject to the duration limits stated in the Non-Competition section.</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 If Employer prevails in any action to enforce this agreement, Employee must reimburse Employer's reasonable attorney's fees and costs.</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 Each restrictive covenant in this agreement is intended to be independently enforceable.</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successor or acquirer of all or substantially all of Employer's business or assets.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For any civil action relating to the non-compete in this agreement that is subject to Mass. Gen. Laws ch. 149, § 24L, Employer and Employee mutually agree that the action may be brought in Suffolk County (Mass. Gen. Laws ch. 149, § 24L(f)). Other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entity that employs the employee]</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(Massachusetts) (v1.0).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(Massachusetts) (v1.0).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(Massachusetts) (v1.0).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