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Georgia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For as long as the information remains a trade secret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For as long as the information remains confidential</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and prospective customers with whom Employee had material contact during the 2 years before termination of employment, meaning customers Employee dealt with on Employer's behalf, whose dealings with Employer Employee coordinated or supervised, about whom Employee obtained confidential information in the ordinary course of business, or from whom Employee earned compensation, commissions, or earnings.</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24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substantial customer relationships, and customer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 if any is stated.</w:t>
      </w:r>
    </w:p>
    <w:p>
      <w:pPr>
        <w:pStyle w:val="OABody"/>
        <w:numPr>
          <w:ilvl w:val="1"/>
          <w:numId w:val="1"/>
        </w:numPr>
        <w:spacing w:before="0" w:after="120" w:line="340" w:lineRule="auto"/>
      </w:pPr>
      <w:r>
        <w:rPr>
          <w:b/>
          <w:bCs/>
          <w:color w:val="117086"/>
        </w:rPr>
        <w:t xml:space="preserve">“Solicit”</w:t>
      </w:r>
      <w:r>
        <w:t xml:space="preserve"> means to directly or indirectly, or by assisting others, solicit or attempt to solicit business, including actively seeking prospective customers,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and is the subject of reasonable efforts to maintain its secrecy.</w:t>
      </w:r>
    </w:p>
    <w:p>
      <w:pPr>
        <w:pStyle w:val="OABody"/>
        <w:keepNext/>
        <w:numPr>
          <w:ilvl w:val="0"/>
          <w:numId w:val="1"/>
        </w:numPr>
        <w:spacing w:before="320" w:after="120" w:line="340" w:lineRule="auto"/>
        <w:jc w:val="left"/>
      </w:pPr>
      <w:r>
        <w:rPr>
          <w:b/>
          <w:bCs/>
        </w:rPr>
        <w:t xml:space="preserve">Recitals, Consideration, and Protected Interests</w:t>
      </w:r>
    </w:p>
    <w:p>
      <w:pPr>
        <w:pStyle w:val="OABody"/>
        <w:spacing w:before="0" w:after="120" w:line="340" w:lineRule="auto"/>
        <w:ind w:left="720"/>
      </w:pPr>
      <w:r>
        <w:t xml:space="preserve">Each covenant is supported by and no broader than necessary to protect Employer's Protected Interests. In consideration for this agreement, Employer provides Employee with </w:t>
      </w:r>
      <w:r>
        <w:rPr>
          <w:b w:val="0"/>
          <w:bCs w:val="0"/>
        </w:rPr>
        <w:t xml:space="preserve">access to Employer's Confidential Information, specialized training, and Employer's customer goodwill and relationships</w:t>
      </w:r>
      <w:r>
        <w:t xml:space="preserve">.</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trade-secret obligations continue while the information remains a trade secret. Other confidentiality obligations continue for the duration specified in Cover Terms and end when the information is no longer confidential. This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making disclosures required by law, court order, or a government investigation; or (e) filing a sealed complaint in court using Confidential Information without liability. Pursuant to the Defend Trade Secrets Act (18 U.S.C. § 1833(b)), Employee may not be held criminally or civilly liable under any federal or state trade-secret law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the business of any Covered Customer for purposes of providing products or services that are competitive with those provided by Employer's business.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The restrictive covenants apply to a physician or other health care practitioner only if the covered function identified in Cover Terms applies to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Employer will limit any such disclosure to factual statements about the covenants in this agreement.</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Each Restricted Period begins when Employee's employment ends and expires on its stated end date, notwithstanding any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temporary and permanent injunctive relief and any other appropriate and effective remedy available at law or equity, including relief available under applicable trade-secret law to prevent actual or threatened misappropriation of trade secrets. Injunctive relief runs only through the covenant's stated Restricted Period.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as long as the information remains confidential or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that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(Georgia)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(Georgia)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(Georgia)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